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360" w:lineRule="auto"/>
        <w:ind w:firstLine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</w:t>
      </w:r>
      <w:r>
        <w:rPr>
          <w:rFonts w:ascii="Times New Roman" w:hAnsi="Times New Roman"/>
          <w:sz w:val="16"/>
        </w:rPr>
        <w:t xml:space="preserve">                                                           </w:t>
      </w: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>ОТЧЕТ О ДОСТИЖЕНИИ ЦЕЛЕВЫХ ПОКАЗАТЕЛЕЙ МУНИЦИПАЛЬНОЙ ПРОГРАММЫ</w:t>
      </w:r>
    </w:p>
    <w:p w14:paraId="02000000">
      <w:pPr>
        <w:spacing w:line="360" w:lineRule="auto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по состоянию на </w:t>
      </w:r>
      <w:r>
        <w:rPr>
          <w:rFonts w:ascii="Times New Roman" w:hAnsi="Times New Roman"/>
          <w:sz w:val="16"/>
        </w:rPr>
        <w:t>01</w:t>
      </w:r>
      <w:r>
        <w:rPr>
          <w:rFonts w:ascii="Times New Roman" w:hAnsi="Times New Roman"/>
          <w:sz w:val="16"/>
        </w:rPr>
        <w:t xml:space="preserve"> апреля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20</w:t>
      </w:r>
      <w:r>
        <w:rPr>
          <w:rFonts w:ascii="Times New Roman" w:hAnsi="Times New Roman"/>
          <w:sz w:val="16"/>
        </w:rPr>
        <w:t>24</w:t>
      </w:r>
      <w:r>
        <w:rPr>
          <w:rFonts w:ascii="Times New Roman" w:hAnsi="Times New Roman"/>
          <w:sz w:val="16"/>
        </w:rPr>
        <w:t xml:space="preserve"> года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5"/>
        <w:gridCol w:w="7311"/>
        <w:gridCol w:w="934"/>
        <w:gridCol w:w="79"/>
        <w:gridCol w:w="1305"/>
        <w:gridCol w:w="1314"/>
        <w:gridCol w:w="1070"/>
        <w:gridCol w:w="9"/>
        <w:gridCol w:w="3030"/>
      </w:tblGrid>
      <w:tr>
        <w:trPr>
          <w:trHeight w:hRule="atLeast" w:val="178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№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Ед. измерения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Плановое значение на год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Фактическое значение за отчетный период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Отклонение, %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*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9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Причины отклонения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*</w:t>
            </w:r>
          </w:p>
        </w:tc>
      </w:tr>
      <w:tr>
        <w:trPr>
          <w:trHeight w:hRule="atLeast" w:val="288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</w:t>
            </w:r>
            <w:r>
              <w:rPr>
                <w:rFonts w:ascii="Times New Roman" w:hAnsi="Times New Roman"/>
                <w:color w:val="000000"/>
                <w:sz w:val="16"/>
              </w:rPr>
              <w:t>муниципальным долгом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в муниципальном образовании «Дновский район»</w:t>
            </w:r>
            <w:r>
              <w:rPr>
                <w:rFonts w:ascii="Times New Roman" w:hAnsi="Times New Roman"/>
                <w:color w:val="000000"/>
                <w:sz w:val="16"/>
              </w:rPr>
              <w:t>»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Исполнение государственных полномочий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22,09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-75,91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/>
        </w:tc>
      </w:tr>
      <w:tr>
        <w:trPr>
          <w:trHeight w:hRule="atLeast" w:val="26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нормативно-правовых актов, подлежащих </w:t>
            </w:r>
            <w:r>
              <w:rPr>
                <w:rFonts w:ascii="Times New Roman" w:hAnsi="Times New Roman"/>
                <w:sz w:val="16"/>
              </w:rPr>
              <w:t>обнародованию и опубликованных в СМИ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</w:t>
            </w:r>
            <w:r>
              <w:rPr>
                <w:rFonts w:ascii="Times New Roman" w:hAnsi="Times New Roman"/>
                <w:sz w:val="16"/>
              </w:rPr>
              <w:t>д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ind w:firstLine="0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-87,5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ind w:firstLine="0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Отношение объема муниципального долга по состоянию на 01 января года, следующего за </w:t>
            </w:r>
            <w:r>
              <w:rPr>
                <w:rFonts w:ascii="Times New Roman" w:hAnsi="Times New Roman"/>
                <w:color w:val="000000"/>
                <w:sz w:val="16"/>
              </w:rPr>
              <w:t>отчетным</w:t>
            </w:r>
            <w:r>
              <w:rPr>
                <w:rFonts w:ascii="Times New Roman" w:hAnsi="Times New Roman"/>
                <w:color w:val="000000"/>
                <w:sz w:val="16"/>
              </w:rPr>
              <w:t>, к общему годовому объему доходов бюджета муниципального образования (без учета объема безвозмездных поступлений)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14,76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14,76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/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Процент исполнения 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плана 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поступления налоговых и неналоговых доходов в бюджет муниципального образования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</w:t>
            </w:r>
            <w:r>
              <w:rPr>
                <w:rFonts w:ascii="Times New Roman" w:hAnsi="Times New Roman"/>
                <w:sz w:val="16"/>
              </w:rPr>
              <w:t>,5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  <w:p w14:paraId="2C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23,07</w:t>
            </w:r>
          </w:p>
          <w:p w14:paraId="2D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76,43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/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0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. 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1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Численность муниципальных служащих на 1000 жителей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2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3,41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-35,9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00000"/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z w:val="16"/>
              </w:rPr>
              <w:t>Подпрограмма 1 «</w:t>
            </w:r>
            <w:r>
              <w:rPr>
                <w:rFonts w:ascii="Times New Roman" w:hAnsi="Times New Roman"/>
                <w:color w:val="000000"/>
                <w:sz w:val="16"/>
              </w:rPr>
              <w:t>Обеспечение функционирования администрации муниципального образования</w:t>
            </w:r>
            <w:r>
              <w:rPr>
                <w:rFonts w:ascii="Times New Roman" w:hAnsi="Times New Roman"/>
                <w:color w:val="000000"/>
                <w:sz w:val="16"/>
              </w:rPr>
              <w:t>»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Количество действующих многофункциональных центров (филиалов), работающих по принципу «одного окна», на территории муниципального образования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нормативно-правовых актов, подлежащих обнародованию и опубликованных в СМИ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16"/>
              </w:rPr>
              <w:t>-87,5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63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1.3.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Численность муниципальных служащих на 1000 жителей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3,41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-35,9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/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</w:t>
            </w:r>
            <w:r>
              <w:rPr>
                <w:rFonts w:ascii="Times New Roman" w:hAnsi="Times New Roman"/>
                <w:sz w:val="16"/>
              </w:rPr>
              <w:t>Основное мероприятие 1.1.</w:t>
            </w:r>
            <w:r>
              <w:rPr>
                <w:rFonts w:ascii="Times New Roman" w:hAnsi="Times New Roman"/>
                <w:sz w:val="16"/>
              </w:rPr>
              <w:t xml:space="preserve"> «</w:t>
            </w:r>
            <w:r>
              <w:rPr>
                <w:rFonts w:ascii="Times New Roman" w:hAnsi="Times New Roman"/>
                <w:sz w:val="16"/>
              </w:rPr>
              <w:t>Функционирование администрации муниципального образования</w:t>
            </w:r>
            <w:r>
              <w:rPr>
                <w:rFonts w:ascii="Times New Roman" w:hAnsi="Times New Roman"/>
                <w:sz w:val="16"/>
              </w:rPr>
              <w:t>»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нормативно-правовых актов, подлежащих обнародованию и опубликованных в СМИ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16"/>
              </w:rPr>
              <w:t>-87,5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1.1.2.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Численность муниципальных служащих на 1000 жителей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3,41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- 35,9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/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Подпрограмма 2 «Обеспечение общего порядка и противодействие коррупции»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муниципальных актов, в которых выявлены коррупциогенные факторы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-100,0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2.2.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-100,0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2.1. «Обеспечение общего порядка и противодействие коррупции»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2.1.1.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внесенных в адрес администрации актов прокурорского реагирования в отношении муниципальных правовых актов, в том числе с указанием на содержание </w:t>
            </w:r>
            <w:r>
              <w:rPr>
                <w:rFonts w:ascii="Times New Roman" w:hAnsi="Times New Roman"/>
                <w:sz w:val="16"/>
              </w:rPr>
              <w:t>коррупциог</w:t>
            </w:r>
            <w:r>
              <w:rPr>
                <w:rFonts w:ascii="Times New Roman" w:hAnsi="Times New Roman"/>
                <w:sz w:val="16"/>
              </w:rPr>
              <w:t>е</w:t>
            </w:r>
            <w:r>
              <w:rPr>
                <w:rFonts w:ascii="Times New Roman" w:hAnsi="Times New Roman"/>
                <w:sz w:val="16"/>
              </w:rPr>
              <w:t>нных</w:t>
            </w:r>
            <w:r>
              <w:rPr>
                <w:rFonts w:ascii="Times New Roman" w:hAnsi="Times New Roman"/>
                <w:sz w:val="16"/>
              </w:rPr>
              <w:t xml:space="preserve"> факторов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ед.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66,67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2.1.2.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проведенных </w:t>
            </w:r>
            <w:r>
              <w:rPr>
                <w:rFonts w:ascii="Times New Roman" w:hAnsi="Times New Roman"/>
                <w:sz w:val="16"/>
              </w:rPr>
              <w:t>ан</w:t>
            </w:r>
            <w:r>
              <w:rPr>
                <w:rFonts w:ascii="Times New Roman" w:hAnsi="Times New Roman"/>
                <w:sz w:val="16"/>
              </w:rPr>
              <w:t>т</w:t>
            </w:r>
            <w:r>
              <w:rPr>
                <w:rFonts w:ascii="Times New Roman" w:hAnsi="Times New Roman"/>
                <w:sz w:val="16"/>
              </w:rPr>
              <w:t>икоррупционных</w:t>
            </w:r>
            <w:r>
              <w:rPr>
                <w:rFonts w:ascii="Times New Roman" w:hAnsi="Times New Roman"/>
                <w:sz w:val="16"/>
              </w:rPr>
              <w:t xml:space="preserve"> мероприятий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</w:t>
            </w: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-85,0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2.1.3.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размещенных на сайте администрации муниципального образования отчетов о проведенных </w:t>
            </w:r>
            <w:r>
              <w:rPr>
                <w:rFonts w:ascii="Times New Roman" w:hAnsi="Times New Roman"/>
                <w:sz w:val="16"/>
              </w:rPr>
              <w:t>антикоррупционных</w:t>
            </w:r>
            <w:r>
              <w:rPr>
                <w:rFonts w:ascii="Times New Roman" w:hAnsi="Times New Roman"/>
                <w:sz w:val="16"/>
              </w:rPr>
              <w:t xml:space="preserve"> мероприятиях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ед.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                                              Подпрограмма 3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«Совершенствование, развитие бюджетного процесса и управление муниципальным долгом»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Прирост доходной базы бюджета за счет местных налогов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</w:t>
            </w: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</w:t>
            </w:r>
            <w:r>
              <w:rPr>
                <w:rFonts w:ascii="Times New Roman" w:hAnsi="Times New Roman"/>
                <w:color w:val="000000"/>
                <w:sz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Доля просроченной кредиторской задолженности в общем объеме расходов бюджета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%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3.1. «Совершенствование и развитие бюджетного процесса»</w:t>
            </w:r>
          </w:p>
        </w:tc>
      </w:tr>
      <w:tr>
        <w:trPr>
          <w:trHeight w:hRule="atLeast" w:val="223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3.1.1.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Доля расходов бюджета муниципального образования, формируемых в рамках муниципальных программ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%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</w:t>
            </w:r>
            <w:r>
              <w:rPr>
                <w:rFonts w:ascii="Times New Roman" w:hAnsi="Times New Roman"/>
                <w:sz w:val="16"/>
              </w:rPr>
              <w:t>5</w:t>
            </w: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98,1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-1,4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3.1.2.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Доля бюджетной отчетности, предоставленной в ГФУ Псковской области в сроки, к общему объему бюджетной отчетности, предоставляемой в ГФУ Псковской области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%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100,00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100,00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Подпрограмма 4 «Социальная поддержка граждан и реализация демографической политики»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4.1.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граждан, попавших в трудную жизненную ситуацию, которым оказана социальная помощь</w:t>
            </w:r>
          </w:p>
        </w:tc>
        <w:tc>
          <w:tcPr>
            <w:tcW w:type="dxa" w:w="1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чел.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tabs>
                <w:tab w:leader="none" w:pos="1098" w:val="right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        Основное мероприятие 4.1. «Социальная поддержка граждан и реализация демографической политики»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4.1.1.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граждан, попавших в трудную жизненную ситуацию, которым оказана социальная помощь</w:t>
            </w:r>
          </w:p>
        </w:tc>
        <w:tc>
          <w:tcPr>
            <w:tcW w:type="dxa" w:w="1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чел.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3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/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Подпрограмма 5 "Вовлечение населения в осуществление местного самоуправления, поддержка гражданских инициатив"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5.1</w:t>
            </w:r>
          </w:p>
        </w:tc>
        <w:tc>
          <w:tcPr>
            <w:tcW w:type="dxa" w:w="73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Количество населения, вовлеченного в осуществление местного самоуправления</w:t>
            </w:r>
          </w:p>
        </w:tc>
        <w:tc>
          <w:tcPr>
            <w:tcW w:type="dxa" w:w="1013"/>
            <w:gridSpan w:val="2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%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/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/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Основное мероприятие  «Развитие институтов территориального общественного самоуправления и поддержка проектов местных инициатив»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0"/>
                <w:sz w:val="16"/>
              </w:rPr>
              <w:t>5.1.1.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Расходы на реализацию инициативных проектов</w:t>
            </w:r>
          </w:p>
        </w:tc>
        <w:tc>
          <w:tcPr>
            <w:tcW w:type="dxa" w:w="1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руб.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100 000,00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-100,00</w:t>
            </w: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</w:tbl>
    <w:p w14:paraId="C1000000">
      <w:pPr>
        <w:ind/>
        <w:jc w:val="right"/>
        <w:rPr>
          <w:rFonts w:ascii="Times New Roman" w:hAnsi="Times New Roman"/>
          <w:highlight w:val="yellow"/>
        </w:rPr>
      </w:pPr>
    </w:p>
    <w:p w14:paraId="C2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*заполняется только в случае годового отчета.</w:t>
      </w:r>
    </w:p>
    <w:p w14:paraId="C3000000">
      <w:pPr>
        <w:ind w:firstLine="0"/>
        <w:rPr>
          <w:rFonts w:ascii="Times New Roman" w:hAnsi="Times New Roman"/>
          <w:sz w:val="16"/>
        </w:rPr>
      </w:pPr>
    </w:p>
    <w:p w14:paraId="C4000000">
      <w:pPr>
        <w:ind w:firstLine="0"/>
        <w:rPr>
          <w:rFonts w:ascii="Times New Roman" w:hAnsi="Times New Roman"/>
          <w:sz w:val="16"/>
        </w:rPr>
      </w:pPr>
    </w:p>
    <w:p w14:paraId="C5000000">
      <w:pPr>
        <w:ind w:firstLine="0"/>
        <w:rPr>
          <w:rFonts w:ascii="Times New Roman" w:hAnsi="Times New Roman"/>
          <w:sz w:val="16"/>
        </w:rPr>
      </w:pPr>
    </w:p>
    <w:p w14:paraId="C6000000">
      <w:pPr>
        <w:ind w:firstLine="0"/>
        <w:rPr>
          <w:rFonts w:ascii="Times New Roman" w:hAnsi="Times New Roman"/>
          <w:sz w:val="16"/>
        </w:rPr>
      </w:pPr>
    </w:p>
    <w:p w14:paraId="C7000000">
      <w:pPr>
        <w:ind w:firstLine="0"/>
        <w:rPr>
          <w:rFonts w:ascii="Times New Roman" w:hAnsi="Times New Roman"/>
          <w:sz w:val="16"/>
        </w:rPr>
      </w:pPr>
    </w:p>
    <w:p w14:paraId="C8000000">
      <w:pPr>
        <w:ind w:firstLine="0"/>
        <w:rPr>
          <w:rFonts w:ascii="Times New Roman" w:hAnsi="Times New Roman"/>
          <w:sz w:val="16"/>
        </w:rPr>
      </w:pPr>
    </w:p>
    <w:p w14:paraId="C9000000">
      <w:pPr>
        <w:ind w:firstLine="0"/>
        <w:rPr>
          <w:rFonts w:ascii="Times New Roman" w:hAnsi="Times New Roman"/>
          <w:sz w:val="16"/>
        </w:rPr>
      </w:pPr>
    </w:p>
    <w:p w14:paraId="CA000000">
      <w:pPr>
        <w:ind w:firstLine="0"/>
        <w:rPr>
          <w:rFonts w:ascii="Times New Roman" w:hAnsi="Times New Roman"/>
          <w:sz w:val="16"/>
        </w:rPr>
      </w:pPr>
    </w:p>
    <w:p w14:paraId="CB000000">
      <w:pPr>
        <w:ind w:firstLine="0"/>
        <w:rPr>
          <w:rFonts w:ascii="Times New Roman" w:hAnsi="Times New Roman"/>
          <w:sz w:val="16"/>
        </w:rPr>
      </w:pPr>
    </w:p>
    <w:p w14:paraId="CC000000">
      <w:pPr>
        <w:ind w:firstLine="0"/>
        <w:rPr>
          <w:rFonts w:ascii="Times New Roman" w:hAnsi="Times New Roman"/>
          <w:sz w:val="16"/>
        </w:rPr>
      </w:pPr>
    </w:p>
    <w:p w14:paraId="CD000000">
      <w:pPr>
        <w:ind w:firstLine="0"/>
        <w:rPr>
          <w:rFonts w:ascii="Times New Roman" w:hAnsi="Times New Roman"/>
          <w:sz w:val="16"/>
        </w:rPr>
      </w:pPr>
    </w:p>
    <w:p w14:paraId="CE000000">
      <w:pPr>
        <w:ind w:firstLine="0"/>
        <w:rPr>
          <w:rFonts w:ascii="Times New Roman" w:hAnsi="Times New Roman"/>
          <w:sz w:val="16"/>
        </w:rPr>
      </w:pPr>
    </w:p>
    <w:p w14:paraId="CF000000">
      <w:pPr>
        <w:ind w:firstLine="0"/>
        <w:rPr>
          <w:rFonts w:ascii="Times New Roman" w:hAnsi="Times New Roman"/>
          <w:sz w:val="16"/>
        </w:rPr>
      </w:pPr>
    </w:p>
    <w:p w14:paraId="D0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1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2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3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4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5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6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7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8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9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A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B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C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D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E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F000000">
      <w:pPr>
        <w:spacing w:line="36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>ОТЧЕТ О РЕАЛИЗАЦИИ МЕРОПРИЯТИ</w:t>
      </w:r>
      <w:r>
        <w:rPr>
          <w:rFonts w:ascii="Times New Roman" w:hAnsi="Times New Roman"/>
          <w:sz w:val="16"/>
        </w:rPr>
        <w:t>Й</w:t>
      </w:r>
      <w:r>
        <w:rPr>
          <w:rFonts w:ascii="Times New Roman" w:hAnsi="Times New Roman"/>
          <w:sz w:val="16"/>
        </w:rPr>
        <w:t xml:space="preserve"> МУНИЦИПАЛЬНО</w:t>
      </w:r>
      <w:r>
        <w:rPr>
          <w:rFonts w:ascii="Times New Roman" w:hAnsi="Times New Roman"/>
          <w:sz w:val="16"/>
        </w:rPr>
        <w:t>Й</w:t>
      </w:r>
      <w:r>
        <w:rPr>
          <w:rFonts w:ascii="Times New Roman" w:hAnsi="Times New Roman"/>
          <w:sz w:val="16"/>
        </w:rPr>
        <w:t xml:space="preserve"> ПРОГРАММЫ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4"/>
        <w:gridCol w:w="2563"/>
        <w:gridCol w:w="2363"/>
        <w:gridCol w:w="3095"/>
        <w:gridCol w:w="1401"/>
        <w:gridCol w:w="1694"/>
        <w:gridCol w:w="1885"/>
        <w:gridCol w:w="1885"/>
      </w:tblGrid>
      <w:tr>
        <w:trPr>
          <w:trHeight w:hRule="atLeast" w:val="751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№</w:t>
            </w:r>
            <w:r>
              <w:rPr>
                <w:rFonts w:ascii="Times New Roman" w:hAnsi="Times New Roman"/>
                <w:color w:val="000000"/>
                <w:sz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п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п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Наименование показателя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Единица измерения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Плановое значение на год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Фактическое значение за отчетный период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Отклонение, %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*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Причины отклонения *</w:t>
            </w:r>
          </w:p>
        </w:tc>
      </w:tr>
      <w:tr>
        <w:trPr>
          <w:trHeight w:hRule="atLeast" w:val="407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</w:tr>
      <w:tr>
        <w:trPr>
          <w:trHeight w:hRule="atLeast" w:val="36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1"/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Подпр</w:t>
            </w:r>
            <w:r>
              <w:rPr>
                <w:rFonts w:ascii="Times New Roman" w:hAnsi="Times New Roman"/>
                <w:color w:val="000000"/>
                <w:sz w:val="16"/>
              </w:rPr>
              <w:t>ограмма 1 «</w:t>
            </w:r>
            <w:r>
              <w:rPr>
                <w:rFonts w:ascii="Times New Roman" w:hAnsi="Times New Roman"/>
                <w:color w:val="000000"/>
                <w:sz w:val="16"/>
              </w:rPr>
              <w:t>Обеспечение функционирования администрации муниципального образования</w:t>
            </w:r>
            <w:r>
              <w:rPr>
                <w:rFonts w:ascii="Times New Roman" w:hAnsi="Times New Roman"/>
                <w:color w:val="000000"/>
                <w:sz w:val="16"/>
              </w:rPr>
              <w:t>»</w:t>
            </w:r>
          </w:p>
        </w:tc>
      </w:tr>
      <w:tr>
        <w:trPr>
          <w:trHeight w:hRule="atLeast" w:val="30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1"/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Основное мероприятие 1.1. «Функционирование администрации муниципального образования»</w:t>
            </w:r>
          </w:p>
        </w:tc>
      </w:tr>
      <w:tr>
        <w:trPr>
          <w:trHeight w:hRule="atLeast" w:val="60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«Принятие устава муниципального образования и внесение в него изменений и дополнений, издание муниципальных правовых актов»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522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1.1.2.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«Организация публичных слушаний»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1.1.3.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«Организация работы по обращениям граждан и юридических лиц»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1.1.4.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«Сопровождение и обновление официального сайта»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</w:t>
            </w:r>
            <w:r>
              <w:rPr>
                <w:rFonts w:ascii="Times New Roman" w:hAnsi="Times New Roman"/>
                <w:color w:val="000000"/>
                <w:sz w:val="16"/>
              </w:rPr>
              <w:t>.5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«Оценка недвижимости, признание прав регулирования отношений по муниципальной собственности»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</w:t>
            </w:r>
            <w:r>
              <w:rPr>
                <w:rFonts w:ascii="Times New Roman" w:hAnsi="Times New Roman"/>
                <w:color w:val="000000"/>
                <w:sz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«Исполнение государственных полномочий по ведению регистра муниципальных нормативных актов»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</w:t>
            </w:r>
            <w:r>
              <w:rPr>
                <w:rFonts w:ascii="Times New Roman" w:hAnsi="Times New Roman"/>
                <w:color w:val="000000"/>
                <w:sz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Мероприятия «Предоставление ежегодных отчетов депутатов перед избирателями»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1.1.8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Мероприятие «Организация </w:t>
            </w:r>
            <w:r>
              <w:rPr>
                <w:rFonts w:ascii="Times New Roman" w:hAnsi="Times New Roman"/>
                <w:color w:val="000000"/>
                <w:sz w:val="16"/>
              </w:rPr>
              <w:t>проведения встреч представителей органов местного самоуправления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с населением»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1.1.9.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Выплаты персоналу муниципальных органов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 w:hanging="6" w:left="6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да/нет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1.1.10.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Выплаты работникам, занимающим должности, не отнесенные </w:t>
            </w:r>
            <w:r>
              <w:rPr>
                <w:rFonts w:ascii="Times New Roman" w:hAnsi="Times New Roman"/>
                <w:color w:val="000000"/>
                <w:sz w:val="16"/>
              </w:rPr>
              <w:t>у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должностям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муниципальной службы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 w:hanging="6" w:left="6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да/нет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1.1.11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«Переподготовка и повышение квалификации муниципальных служащих администрации муниципального образования»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</w:t>
            </w:r>
            <w:r>
              <w:rPr>
                <w:rFonts w:ascii="Times New Roman" w:hAnsi="Times New Roman"/>
                <w:color w:val="000000"/>
                <w:sz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«Предоставление субвенции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</w:t>
            </w:r>
            <w:r>
              <w:rPr>
                <w:rFonts w:ascii="Times New Roman" w:hAnsi="Times New Roman"/>
                <w:color w:val="000000"/>
                <w:sz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«Уплата налогов, сборов и иных платежей муниципальными органами»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1.1.14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«Расходы на проведение выборов в органы местного самоуправления»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1.1.15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</w:t>
            </w:r>
            <w:r>
              <w:t xml:space="preserve"> </w:t>
            </w:r>
            <w:r>
              <w:rPr>
                <w:sz w:val="16"/>
              </w:rPr>
              <w:t>«</w:t>
            </w:r>
            <w:r>
              <w:rPr>
                <w:rFonts w:ascii="Times New Roman" w:hAnsi="Times New Roman"/>
                <w:color w:val="000000"/>
                <w:sz w:val="16"/>
              </w:rPr>
              <w:t>Закупки товаров, работ и услуг для обеспечения муниципальных нужд»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</w:t>
            </w:r>
            <w:r>
              <w:rPr>
                <w:rFonts w:ascii="Times New Roman" w:hAnsi="Times New Roman"/>
                <w:color w:val="000000"/>
                <w:sz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«Возмещение затрат по созданию условий для предоставления государственных и муниципальных услуг по принципу "одного окна" на территории сельских поселений»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Количество действующих многофункциональных центров (филиалов), работающих по принципу «одного окна», на территории муниципального образования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1.1.17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  <w:p w14:paraId="7B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</w:t>
            </w: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«Обеспечение информированности населения о деятельности органов местного самоуправления»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1.1.19.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Расходы на проведение Всероссийской переписи населения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  <w:p w14:paraId="8B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/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1.1.20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«Поощрение муниципальных управленческих команд за достижение показателей деятельности органов исполнительной власти»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41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widowControl w:val="1"/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Подпрограмма 2 «Обеспечение общего порядка и противодействие коррупции»</w:t>
            </w:r>
          </w:p>
        </w:tc>
      </w:tr>
      <w:tr>
        <w:trPr>
          <w:trHeight w:hRule="atLeast" w:val="267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Основное мероприятие 2.1. «Обеспечение общего порядка и противодействие коррупции»</w:t>
            </w: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2.1.1.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«Проведение экспертизы муниципальных правовых актов и их проектов на предмет исключения содержания </w:t>
            </w:r>
            <w:r>
              <w:rPr>
                <w:rFonts w:ascii="Times New Roman" w:hAnsi="Times New Roman"/>
                <w:sz w:val="16"/>
              </w:rPr>
              <w:t>коррупциогенных</w:t>
            </w:r>
            <w:r>
              <w:rPr>
                <w:rFonts w:ascii="Times New Roman" w:hAnsi="Times New Roman"/>
                <w:sz w:val="16"/>
              </w:rPr>
              <w:t xml:space="preserve"> факторов»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экспертиз проектов муниципальных правовых актов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  <w:p w14:paraId="A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-85,0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3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2.1.2.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4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«Разработка и внедрение административных регламентов предоставления муниципальных услуг»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5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Количество разработанных и утвержденных регламентов предоставление муниципальных услуг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6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A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2.1.3.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Мероприятие «Исполнение государственных полномочий по </w:t>
            </w:r>
            <w:r>
              <w:rPr>
                <w:rFonts w:ascii="Times New Roman" w:hAnsi="Times New Roman"/>
                <w:color w:val="000000"/>
                <w:sz w:val="16"/>
              </w:rPr>
              <w:t>осуществлению деятельности административной комиссии»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2.1.4.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«Организация и обеспечение деятельности комиссии по соблюдению требований к служебному поведению и урегулированию конфликта интересов»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2.1.5.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«Обеспечение информирования муниципальных служащих по основным положениям </w:t>
            </w:r>
            <w:r>
              <w:rPr>
                <w:rFonts w:ascii="Times New Roman" w:hAnsi="Times New Roman"/>
                <w:sz w:val="16"/>
              </w:rPr>
              <w:t>антикоррупционного</w:t>
            </w:r>
            <w:r>
              <w:rPr>
                <w:rFonts w:ascii="Times New Roman" w:hAnsi="Times New Roman"/>
                <w:sz w:val="16"/>
              </w:rPr>
              <w:t xml:space="preserve"> законодательства»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проинформированных муниципальных служащих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2.1.6.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Количество муниципальных служащих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ед.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2.1.7.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да/нет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41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widowControl w:val="1"/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</w:tr>
      <w:tr>
        <w:trPr>
          <w:trHeight w:hRule="atLeast" w:val="341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widowControl w:val="1"/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Основное мероприятие «Совершенствование и развитие бюджетного процесса»</w:t>
            </w: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3.1.1.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«Ведение реестра расходных обязательств»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3.1.2.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«Утверждение порядка и методики планирования бюджетных ассигнований бюджета муниципального образования на очередной финансовый год»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3.1.3.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«Разработка правового, методологического и информационного обеспечения бюджетного процесса»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3.1.4.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«Соблюдения ограничений по уровню дефицита бюджета муниципального образования и обеспечения оптимального уровня для исполнения бюджета»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3.1.5.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Мероприятие «Составления сводной бюджетной росписи бюджета  на очередной финансовый год, своевременного </w:t>
            </w:r>
            <w:r>
              <w:rPr>
                <w:rFonts w:ascii="Times New Roman" w:hAnsi="Times New Roman"/>
                <w:color w:val="000000"/>
                <w:sz w:val="16"/>
              </w:rPr>
              <w:t>доведения показателей сводной бюджетной росписи и лимитов бюджетных обязательств до главных распорядителей средств бюджета»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3.1.6.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«Составления и представления отчетов об исполнении бюджета в установленные сроки»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3.1.7.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«Планирования бюджетных ассигнований на оказание муниципальных услуг (выполнение работ) с учетом муниципального задания»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3.1.8.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«Формирование районных фондов финансовой поддержки бюджетов поселений»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Количество поселений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3.1.9.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«Вопросы местного значения по заключенным соглашениям»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Количество заключенных соглашений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3.1.10.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«Внедрение программно-целевых принципов организации деятельности органов местного самоуправления</w:t>
            </w:r>
            <w:r>
              <w:rPr>
                <w:rFonts w:ascii="Times New Roman" w:hAnsi="Times New Roman"/>
                <w:color w:val="000000"/>
                <w:sz w:val="16"/>
              </w:rPr>
              <w:t>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41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widowControl w:val="1"/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Подпрограмма 4. «Социальная поддержка граждан и реализация демографической политики»</w:t>
            </w:r>
          </w:p>
        </w:tc>
      </w:tr>
      <w:tr>
        <w:trPr>
          <w:trHeight w:hRule="atLeast" w:val="341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4.1.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widowControl w:val="1"/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Основное мероприятие 4.1. «Социальная поддержка граждан и реализация демографической политики»</w:t>
            </w: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4.1.1.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«Доплаты к пенсиям муниципальным служащим»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муниципальных служащих получающих доплаты к пенсиям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-11,0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4.1.2.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«Предоставление единовременного пособия к 90-о летнему юбилею жителям муниципального образования»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4.1.3.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«Предоставление субсидий общественной организации инвалидов»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  <w:p w14:paraId="42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409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4.1.4.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Количество доплат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-25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409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4.1.5.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  «Выплаты, связанные с празднованием 9 мая»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Количество получателей выплаты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409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4.1.6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Социальная поддержка граждан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Количество получателей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409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Вовлечение населения в осуществление местного самоуправления, поддержка гражданских инициатив</w:t>
            </w:r>
          </w:p>
        </w:tc>
      </w:tr>
      <w:tr>
        <w:trPr>
          <w:trHeight w:hRule="atLeast" w:val="409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5.1.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</w:t>
            </w:r>
          </w:p>
        </w:tc>
      </w:tr>
      <w:tr>
        <w:trPr>
          <w:trHeight w:hRule="atLeast" w:val="409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0"/>
                <w:sz w:val="16"/>
              </w:rPr>
              <w:t>5.1.1.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Расходы на реализацию инициативных проектов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Сумма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руб.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65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100 000,00</w:t>
            </w:r>
          </w:p>
          <w:p w14:paraId="66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</w:tbl>
    <w:p w14:paraId="6A02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*заполняется только в случае годового отчета.</w:t>
      </w:r>
    </w:p>
    <w:sectPr>
      <w:pgSz w:h="11906" w:w="16838"/>
      <w:pgMar w:bottom="851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 w:firstLine="72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footer"/>
    <w:basedOn w:val="Style_2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2_ch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2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2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2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styleId="Style_26" w:type="paragraph">
    <w:name w:val="header"/>
    <w:basedOn w:val="Style_2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2_ch"/>
    <w:link w:val="Style_26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2024-04-10T12:54:17Z</dcterms:modified>
</cp:coreProperties>
</file>