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 как работнику обжаловать дисциплинарное взыскание (замечание, выговор, увольнение)</w:t>
      </w:r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За совершение дисциплинарного проступка работодатель вправе применить дисциплинарное взыскание в виде замечания, выговора или увольнения. Для отдельных категорий работников могут быть предусмотрены и другие дисциплинарные взыскания (ч. 1, 2 ст. 192 ТК РФ).</w:t>
      </w:r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(ч. 3 ст. 193 ТК РФ).</w:t>
      </w:r>
      <w:bookmarkStart w:id="0" w:name="_GoBack"/>
      <w:bookmarkEnd w:id="0"/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Обжаловать дисциплинарное взыскание можно, обратившись в государственную инспекцию труда (ГИТ), комиссию по трудовым спорам (КТС), арбитраж (для отдельных категорий работников в области спорта) или в суд (ч. 7 ст. 193, ст. ст. 348.13, 382 ТК РФ). Срок обжалования дисциплинарного взыскания (замечания, выговора, увольнения) и порядок действий зависит от органа, в который обращается работник. Каких-либо сроков для обращений, заявлений, жалоб граждан на нарушение их трудовых прав в ГИТ трудовым законодательством не установлено. Однако рекомендуется придерживаться срока, установленного для обращения в суд</w:t>
      </w:r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Дисциплинарное взыскание можно обжаловать в КТС, которая обладает полномочиями по рассмотрению индивидуальных трудовых споров и может быть образована в том числе по инициативе работников (ч. 1 ст. 384, ч. 1 ст. 385 ТК РФ). Обратиться в КТС можно в трехмесячный срок со дня, когда узнали или должны были узнать о нарушении своего права (ч. 1 ст. 386 ТК РФ). Если срок пропущен по уважительным причинам, КТС может его восстановить и разрешить спор по существу (ч. 2 ст. 386 ТК РФ).</w:t>
      </w:r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Также вправе обратиться в суд в течение трех месяцев со дня, когда узнали или должны были узнать о нарушении права, а по спорам об увольнении - в течение одного месяца со дня вручения копии приказа об увольнении либо со дня выдачи трудовой книжки или со дня предоставления в связи с увольнением сведений о трудовой деятельности у работодателя по последнему месту работы (ч. 1 ст. 392 ТК РФ).</w:t>
      </w:r>
    </w:p>
    <w:p w:rsidR="007E6CEE" w:rsidRDefault="007E6CEE" w:rsidP="007E6CEE">
      <w:pPr>
        <w:pStyle w:val="Textbody"/>
        <w:spacing w:after="210"/>
        <w:jc w:val="both"/>
        <w:rPr>
          <w:rFonts w:hint="eastAsia"/>
        </w:rPr>
      </w:pPr>
      <w:r>
        <w:t>При наличии спора о компенсации морального вреда, причиненного вследствие нарушения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 (ч. 3 ст. 392 ТК РФ). При пропуске этих сроков по уважительным причинам они могут быть восстановлены судом (ч. 5 ст. 392 ТК РФ).</w:t>
      </w:r>
    </w:p>
    <w:p w:rsidR="007E6CEE" w:rsidRDefault="007E6CEE" w:rsidP="007E6CEE">
      <w:pPr>
        <w:pStyle w:val="Standard"/>
        <w:rPr>
          <w:rFonts w:hint="eastAsia"/>
        </w:rPr>
      </w:pP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2343CB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2024-12-25T09:24:00Z</dcterms:created>
  <dcterms:modified xsi:type="dcterms:W3CDTF">2024-12-25T09:24:00Z</dcterms:modified>
</cp:coreProperties>
</file>